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9BEB1D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E2755D">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183AA6">
        <w:rPr>
          <w:bCs/>
          <w:noProof w:val="0"/>
          <w:sz w:val="24"/>
          <w:szCs w:val="24"/>
          <w:lang w:val="en-US"/>
        </w:rPr>
        <w:t>00721</w:t>
      </w:r>
    </w:p>
    <w:p w14:paraId="15E990BB" w14:textId="191BC677" w:rsidR="004770F0" w:rsidRPr="00737122" w:rsidRDefault="00E2755D"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Greece</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27</w:t>
      </w:r>
      <w:r w:rsidR="007641FD">
        <w:rPr>
          <w:rFonts w:eastAsia="SimSun"/>
          <w:sz w:val="24"/>
          <w:szCs w:val="24"/>
          <w:lang w:eastAsia="zh-CN"/>
        </w:rPr>
        <w:t xml:space="preserve"> </w:t>
      </w:r>
      <w:r>
        <w:rPr>
          <w:rFonts w:eastAsia="SimSun"/>
          <w:sz w:val="24"/>
          <w:szCs w:val="24"/>
          <w:lang w:eastAsia="zh-CN"/>
        </w:rPr>
        <w:t>February</w:t>
      </w:r>
      <w:r w:rsidR="000B07D6">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March</w:t>
      </w:r>
      <w:r w:rsidR="007B663D" w:rsidRPr="0099316A">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BE7053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BE7672">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93302AC"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E7672">
        <w:rPr>
          <w:rFonts w:ascii="Arial" w:hAnsi="Arial" w:cs="Arial"/>
          <w:b/>
          <w:bCs/>
          <w:sz w:val="24"/>
          <w:lang w:val="en-US"/>
        </w:rPr>
        <w:t xml:space="preserve">QoE </w:t>
      </w:r>
      <w:r w:rsidR="006D660F">
        <w:rPr>
          <w:rFonts w:ascii="Arial" w:hAnsi="Arial" w:cs="Arial"/>
          <w:b/>
          <w:bCs/>
          <w:sz w:val="24"/>
          <w:lang w:val="en-US"/>
        </w:rPr>
        <w:t xml:space="preserve">Reporting </w:t>
      </w:r>
      <w:r w:rsidR="00BE7672">
        <w:rPr>
          <w:rFonts w:ascii="Arial" w:hAnsi="Arial" w:cs="Arial"/>
          <w:b/>
          <w:bCs/>
          <w:sz w:val="24"/>
          <w:lang w:val="en-US"/>
        </w:rPr>
        <w:t>for NR-DC</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BF041FF" w14:textId="7B1BACA9" w:rsidR="00F26BB6" w:rsidRDefault="00196CA8" w:rsidP="005915DC">
      <w:pPr>
        <w:jc w:val="both"/>
        <w:rPr>
          <w:iCs/>
          <w:lang w:val="en-US"/>
        </w:rPr>
      </w:pPr>
      <w:r>
        <w:rPr>
          <w:iCs/>
          <w:lang w:val="en-US"/>
        </w:rPr>
        <w:t xml:space="preserve">For the WI objective relating to </w:t>
      </w:r>
      <w:r w:rsidR="00DB3CB8">
        <w:rPr>
          <w:iCs/>
          <w:lang w:val="en-US"/>
        </w:rPr>
        <w:t>QoE in NR-DC</w:t>
      </w:r>
      <w:r>
        <w:rPr>
          <w:iCs/>
          <w:lang w:val="en-US"/>
        </w:rPr>
        <w:t>, the following agreements have been made in RAN2 and RAN3:</w:t>
      </w:r>
    </w:p>
    <w:tbl>
      <w:tblPr>
        <w:tblStyle w:val="TableGrid"/>
        <w:tblW w:w="0" w:type="auto"/>
        <w:tblLook w:val="04A0" w:firstRow="1" w:lastRow="0" w:firstColumn="1" w:lastColumn="0" w:noHBand="0" w:noVBand="1"/>
      </w:tblPr>
      <w:tblGrid>
        <w:gridCol w:w="9350"/>
      </w:tblGrid>
      <w:tr w:rsidR="00F26BB6" w14:paraId="30ED29D0" w14:textId="77777777" w:rsidTr="00F26BB6">
        <w:tc>
          <w:tcPr>
            <w:tcW w:w="9350" w:type="dxa"/>
          </w:tcPr>
          <w:p w14:paraId="36E7BE14" w14:textId="4B03D73E" w:rsidR="00F26BB6" w:rsidRPr="00F26BB6" w:rsidRDefault="00F26BB6" w:rsidP="005915DC">
            <w:pPr>
              <w:jc w:val="both"/>
              <w:rPr>
                <w:b/>
                <w:bCs/>
                <w:iCs/>
                <w:u w:val="single"/>
                <w:lang w:val="en-US"/>
              </w:rPr>
            </w:pPr>
            <w:r w:rsidRPr="00F26BB6">
              <w:rPr>
                <w:b/>
                <w:bCs/>
                <w:iCs/>
                <w:u w:val="single"/>
                <w:lang w:val="en-US"/>
              </w:rPr>
              <w:t>RAN2 #119-e Agreements:</w:t>
            </w:r>
          </w:p>
          <w:p w14:paraId="778C4FFB" w14:textId="77777777" w:rsidR="00DB3CB8" w:rsidRDefault="00DB3CB8" w:rsidP="00DB3CB8">
            <w:pPr>
              <w:pStyle w:val="Agreement"/>
              <w:tabs>
                <w:tab w:val="clear" w:pos="1009"/>
                <w:tab w:val="clear" w:pos="1980"/>
                <w:tab w:val="num" w:pos="1619"/>
              </w:tabs>
              <w:ind w:left="1619"/>
            </w:pPr>
            <w:r>
              <w:t xml:space="preserve">Observation: Rel-18 QoE configuration may be created by MN or SN. </w:t>
            </w:r>
          </w:p>
          <w:p w14:paraId="5CE55568" w14:textId="77777777" w:rsidR="00DB3CB8" w:rsidRDefault="00DB3CB8" w:rsidP="00DB3CB8">
            <w:pPr>
              <w:pStyle w:val="Agreement"/>
              <w:tabs>
                <w:tab w:val="clear" w:pos="1009"/>
                <w:tab w:val="clear" w:pos="1980"/>
                <w:tab w:val="num" w:pos="1619"/>
              </w:tabs>
              <w:ind w:left="1619"/>
            </w:pPr>
            <w:r>
              <w:t>Either SRB1 or SRB3 can be used for providing SN configuration to UE (at least for m-based QoE). FFS if this requires additional MN-SN coordination.</w:t>
            </w:r>
          </w:p>
          <w:p w14:paraId="06AC3F64" w14:textId="77777777" w:rsidR="00DB3CB8" w:rsidRPr="006A5A23" w:rsidRDefault="00DB3CB8" w:rsidP="00DB3CB8">
            <w:pPr>
              <w:pStyle w:val="Agreement"/>
              <w:tabs>
                <w:tab w:val="clear" w:pos="1009"/>
                <w:tab w:val="clear" w:pos="1980"/>
                <w:tab w:val="num" w:pos="1619"/>
              </w:tabs>
              <w:ind w:left="1619"/>
            </w:pPr>
            <w:r w:rsidRPr="006A5A23">
              <w:t>1: In NR-DC scenario, both signalling-based and management-based QoE measurement collection shall be supported.</w:t>
            </w:r>
          </w:p>
          <w:p w14:paraId="324C84C1" w14:textId="77777777" w:rsidR="00DB3CB8" w:rsidRPr="006A5A23" w:rsidRDefault="00DB3CB8" w:rsidP="00DB3CB8">
            <w:pPr>
              <w:pStyle w:val="Agreement"/>
              <w:tabs>
                <w:tab w:val="clear" w:pos="1009"/>
                <w:tab w:val="clear" w:pos="1980"/>
                <w:tab w:val="num" w:pos="1619"/>
              </w:tabs>
              <w:ind w:left="1619"/>
            </w:pPr>
            <w:r>
              <w:t>RAN2 assumes that there is a unique ID for QoE configurations across MN and SN. This can be accomplished by MN-SN coordination (e.g. similar as was done with measIds for NR-DC)</w:t>
            </w:r>
          </w:p>
          <w:p w14:paraId="7E9B04F0" w14:textId="77777777" w:rsidR="00DB3CB8" w:rsidRPr="00D04447" w:rsidRDefault="00DB3CB8" w:rsidP="00DB3CB8">
            <w:pPr>
              <w:pStyle w:val="Agreement"/>
              <w:tabs>
                <w:tab w:val="clear" w:pos="1009"/>
                <w:tab w:val="clear" w:pos="1980"/>
                <w:tab w:val="num" w:pos="1619"/>
              </w:tabs>
              <w:ind w:left="1619"/>
            </w:pPr>
            <w:r>
              <w:t>Use SRB4 as baseline for Rel-18 QoE. FFS how we can send QoE reports towards SN (e.g. only SRB4, define new SRB, reuse SRB3, split SRB). Discuss details in the next meeting.</w:t>
            </w:r>
          </w:p>
          <w:p w14:paraId="73016651" w14:textId="75672734" w:rsidR="000F47B2" w:rsidRDefault="000F47B2" w:rsidP="000F47B2">
            <w:pPr>
              <w:rPr>
                <w:lang w:eastAsia="en-GB"/>
              </w:rPr>
            </w:pPr>
          </w:p>
          <w:p w14:paraId="77495FDF" w14:textId="7EDE9E28" w:rsidR="00A836FC" w:rsidRPr="00F26BB6" w:rsidRDefault="00A836FC" w:rsidP="00A836FC">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#11</w:t>
            </w:r>
            <w:r>
              <w:rPr>
                <w:b/>
                <w:bCs/>
                <w:iCs/>
                <w:u w:val="single"/>
                <w:lang w:val="en-US"/>
              </w:rPr>
              <w:t>7</w:t>
            </w:r>
            <w:r w:rsidRPr="00F26BB6">
              <w:rPr>
                <w:b/>
                <w:bCs/>
                <w:iCs/>
                <w:u w:val="single"/>
                <w:lang w:val="en-US"/>
              </w:rPr>
              <w:t>-e Agreements:</w:t>
            </w:r>
          </w:p>
          <w:p w14:paraId="404B1DE5" w14:textId="77777777" w:rsidR="00A836FC" w:rsidRPr="00C21A7C" w:rsidRDefault="00A836FC" w:rsidP="00A836FC">
            <w:pPr>
              <w:rPr>
                <w:rFonts w:ascii="Calibri" w:hAnsi="Calibri" w:cs="Calibri"/>
                <w:i/>
                <w:iCs/>
                <w:color w:val="00B050"/>
                <w:kern w:val="2"/>
                <w:sz w:val="16"/>
                <w:szCs w:val="16"/>
              </w:rPr>
            </w:pPr>
            <w:r w:rsidRPr="00C21A7C">
              <w:rPr>
                <w:rFonts w:ascii="Calibri" w:hAnsi="Calibri" w:cs="Calibri" w:hint="eastAsia"/>
                <w:i/>
                <w:iCs/>
                <w:color w:val="00B050"/>
                <w:kern w:val="2"/>
                <w:sz w:val="16"/>
                <w:szCs w:val="16"/>
              </w:rPr>
              <w:t xml:space="preserve">MN is </w:t>
            </w:r>
            <w:r w:rsidRPr="00C21A7C">
              <w:rPr>
                <w:rFonts w:ascii="Calibri" w:hAnsi="Calibri" w:cs="Calibri"/>
                <w:i/>
                <w:iCs/>
                <w:color w:val="00B050"/>
                <w:kern w:val="2"/>
                <w:sz w:val="16"/>
                <w:szCs w:val="16"/>
              </w:rPr>
              <w:t>responsible</w:t>
            </w:r>
            <w:r w:rsidRPr="00C21A7C">
              <w:rPr>
                <w:rFonts w:ascii="Calibri" w:hAnsi="Calibri" w:cs="Calibri" w:hint="eastAsia"/>
                <w:i/>
                <w:iCs/>
                <w:color w:val="00B050"/>
                <w:kern w:val="2"/>
                <w:sz w:val="16"/>
                <w:szCs w:val="16"/>
              </w:rPr>
              <w:t xml:space="preserve"> to configure the s-based QoE to UE</w:t>
            </w:r>
            <w:r w:rsidRPr="00C21A7C">
              <w:rPr>
                <w:rFonts w:ascii="Calibri" w:hAnsi="Calibri" w:cs="Calibri"/>
                <w:i/>
                <w:iCs/>
                <w:color w:val="00B050"/>
                <w:kern w:val="2"/>
                <w:sz w:val="16"/>
                <w:szCs w:val="16"/>
              </w:rPr>
              <w:t>.</w:t>
            </w:r>
          </w:p>
          <w:p w14:paraId="1CC6B3CF" w14:textId="77777777" w:rsidR="00A836FC" w:rsidRPr="00C21A7C" w:rsidRDefault="00A836FC" w:rsidP="00A836FC">
            <w:pPr>
              <w:contextualSpacing/>
              <w:rPr>
                <w:rFonts w:ascii="Calibri" w:hAnsi="Calibri" w:cs="Calibri"/>
                <w:i/>
                <w:iCs/>
                <w:color w:val="00B050"/>
                <w:kern w:val="2"/>
                <w:sz w:val="16"/>
                <w:szCs w:val="16"/>
              </w:rPr>
            </w:pPr>
            <w:r w:rsidRPr="00C21A7C">
              <w:rPr>
                <w:rFonts w:ascii="Calibri" w:hAnsi="Calibri" w:cs="Calibri"/>
                <w:i/>
                <w:iCs/>
                <w:color w:val="00B050"/>
                <w:kern w:val="2"/>
                <w:sz w:val="16"/>
                <w:szCs w:val="16"/>
              </w:rPr>
              <w:t xml:space="preserve">For M-based QoE configuration in NR-DC, coordination between MN and SN is needed. </w:t>
            </w:r>
          </w:p>
          <w:p w14:paraId="0DECC8F8" w14:textId="77777777" w:rsidR="00A836FC" w:rsidRPr="00C21A7C" w:rsidRDefault="00A836FC" w:rsidP="00A836FC">
            <w:pPr>
              <w:contextualSpacing/>
              <w:rPr>
                <w:rFonts w:ascii="Calibri" w:hAnsi="Calibri" w:cs="Calibri"/>
                <w:i/>
                <w:iCs/>
                <w:color w:val="00B050"/>
                <w:kern w:val="2"/>
                <w:sz w:val="16"/>
                <w:szCs w:val="16"/>
              </w:rPr>
            </w:pPr>
            <w:r w:rsidRPr="00C21A7C">
              <w:rPr>
                <w:rFonts w:ascii="Calibri" w:hAnsi="Calibri" w:cs="Calibri"/>
                <w:i/>
                <w:iCs/>
                <w:color w:val="00B050"/>
                <w:kern w:val="2"/>
                <w:sz w:val="16"/>
                <w:szCs w:val="16"/>
              </w:rPr>
              <w:t>If the M-based QoE configuration is received by the MN, the MN should make the decision on the UE selection and on which node sends the QoE configuration to the UE.</w:t>
            </w:r>
          </w:p>
          <w:p w14:paraId="4FE6917C" w14:textId="77777777" w:rsidR="00A836FC" w:rsidRDefault="00A836FC" w:rsidP="00A836FC">
            <w:pPr>
              <w:contextualSpacing/>
              <w:rPr>
                <w:rFonts w:ascii="Calibri" w:hAnsi="Calibri" w:cs="Calibri"/>
                <w:i/>
                <w:iCs/>
                <w:color w:val="00B050"/>
                <w:kern w:val="2"/>
                <w:sz w:val="16"/>
                <w:szCs w:val="16"/>
              </w:rPr>
            </w:pPr>
            <w:r w:rsidRPr="00C21A7C">
              <w:rPr>
                <w:rFonts w:ascii="Calibri" w:hAnsi="Calibri" w:cs="Calibri"/>
                <w:i/>
                <w:iCs/>
                <w:color w:val="00B050"/>
                <w:kern w:val="2"/>
                <w:sz w:val="16"/>
                <w:szCs w:val="16"/>
              </w:rPr>
              <w:t>If the M-based QoE configuration is received only by the SN, whether the MN or the SN performs UE selection and sends the QoE configuration to the UE needs to be further discussed.</w:t>
            </w:r>
          </w:p>
          <w:p w14:paraId="5B680F26" w14:textId="77777777" w:rsidR="00A836FC" w:rsidRPr="00C21A7C"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t>QoE reports can be transmitted to either MN or SN and the reporting leg (MCG or SCG) can be changed during the application session.</w:t>
            </w:r>
            <w:r w:rsidRPr="00C21A7C">
              <w:rPr>
                <w:rFonts w:ascii="Calibri" w:hAnsi="Calibri" w:cs="Calibri"/>
                <w:i/>
                <w:iCs/>
                <w:color w:val="00B050"/>
                <w:kern w:val="2"/>
                <w:sz w:val="16"/>
                <w:szCs w:val="16"/>
              </w:rPr>
              <w:t xml:space="preserve"> </w:t>
            </w:r>
          </w:p>
          <w:p w14:paraId="4219FB1F" w14:textId="77777777" w:rsidR="00A836FC" w:rsidRPr="00C21A7C"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t>If QoE reports are received by the SN, SN can forward the QoE reports to MCE directly.</w:t>
            </w:r>
          </w:p>
          <w:p w14:paraId="79C3B7B0" w14:textId="77777777" w:rsidR="00A836FC" w:rsidRPr="00C21A7C"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t>RAN3 should discuss and clarify the scenarios for QoE reporting transmitted over SN. Which SRB can be used for QoE reporting in SN depend on RAN2.</w:t>
            </w:r>
          </w:p>
          <w:p w14:paraId="646ADC90" w14:textId="77777777" w:rsidR="00A836FC" w:rsidRDefault="00A836FC" w:rsidP="00A836FC">
            <w:pPr>
              <w:contextualSpacing/>
              <w:rPr>
                <w:rFonts w:ascii="Calibri" w:hAnsi="Calibri" w:cs="Calibri"/>
                <w:i/>
                <w:iCs/>
                <w:color w:val="00B050"/>
                <w:kern w:val="2"/>
                <w:sz w:val="16"/>
                <w:szCs w:val="16"/>
              </w:rPr>
            </w:pPr>
            <w:r w:rsidRPr="00C21A7C">
              <w:rPr>
                <w:rFonts w:ascii="Calibri" w:hAnsi="Calibri" w:cs="Calibri"/>
                <w:i/>
                <w:iCs/>
                <w:color w:val="00B050"/>
                <w:kern w:val="2"/>
                <w:sz w:val="16"/>
                <w:szCs w:val="16"/>
              </w:rPr>
              <w:t>WA: MN and SN can generate RVQoE configurations.</w:t>
            </w:r>
          </w:p>
          <w:p w14:paraId="729C6371" w14:textId="77777777" w:rsidR="00A836FC" w:rsidRPr="00C21A7C" w:rsidRDefault="00A836FC" w:rsidP="00A836FC">
            <w:pPr>
              <w:contextualSpacing/>
              <w:rPr>
                <w:rFonts w:ascii="Calibri" w:hAnsi="Calibri" w:cs="Calibri"/>
                <w:i/>
                <w:iCs/>
                <w:color w:val="00B050"/>
                <w:kern w:val="2"/>
                <w:sz w:val="16"/>
                <w:szCs w:val="16"/>
              </w:rPr>
            </w:pPr>
            <w:r w:rsidRPr="00C21A7C">
              <w:rPr>
                <w:rFonts w:ascii="Calibri" w:hAnsi="Calibri" w:cs="Calibri"/>
                <w:i/>
                <w:iCs/>
                <w:color w:val="00B050"/>
                <w:kern w:val="2"/>
                <w:sz w:val="16"/>
                <w:szCs w:val="16"/>
              </w:rPr>
              <w:t>MN and SN should coordinate about configuring a dual-connected UE with RVQoE measurements. The details of the coordination are FFS.</w:t>
            </w:r>
          </w:p>
          <w:p w14:paraId="749FCBCD" w14:textId="77777777" w:rsidR="00A836FC"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t>WA: UE can send RVQoE report to MN, MN then forward the RVQoE report to SN if needed, and vice versa.</w:t>
            </w:r>
          </w:p>
          <w:p w14:paraId="1157FB1E" w14:textId="77777777" w:rsidR="00A836FC" w:rsidRPr="00A836FC" w:rsidRDefault="00A836FC" w:rsidP="000F47B2">
            <w:pPr>
              <w:rPr>
                <w:lang w:eastAsia="en-GB"/>
              </w:rPr>
            </w:pPr>
          </w:p>
          <w:p w14:paraId="489D21FD" w14:textId="2991CB58" w:rsidR="00F26BB6" w:rsidRPr="00F26BB6" w:rsidRDefault="00F26BB6" w:rsidP="00F26BB6">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#11</w:t>
            </w:r>
            <w:r>
              <w:rPr>
                <w:b/>
                <w:bCs/>
                <w:iCs/>
                <w:u w:val="single"/>
                <w:lang w:val="en-US"/>
              </w:rPr>
              <w:t>7bis</w:t>
            </w:r>
            <w:r w:rsidRPr="00F26BB6">
              <w:rPr>
                <w:b/>
                <w:bCs/>
                <w:iCs/>
                <w:u w:val="single"/>
                <w:lang w:val="en-US"/>
              </w:rPr>
              <w:t>-e Agreements:</w:t>
            </w:r>
          </w:p>
          <w:p w14:paraId="0D891658" w14:textId="77777777" w:rsidR="00A836FC" w:rsidRPr="00224B22"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t>In DC, the UE switches the reporting leg based on indication from network, FFS on implicit or explicit way.</w:t>
            </w:r>
          </w:p>
          <w:p w14:paraId="5F2AD348" w14:textId="77777777" w:rsidR="00A836FC" w:rsidRPr="00224B22"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lastRenderedPageBreak/>
              <w:t>RAN3 should discuss which node can command the UE to switch the reporting leg.</w:t>
            </w:r>
          </w:p>
          <w:p w14:paraId="08F86809" w14:textId="77777777" w:rsidR="00A836FC" w:rsidRPr="00224B22"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If a node has configured the UE with QoE measurements, and the other node is receiving the QoE reports from the UE and forwarding them directly to the MCE, then:</w:t>
            </w:r>
          </w:p>
          <w:p w14:paraId="3CBBC83C" w14:textId="69CF4D86" w:rsidR="00A836FC"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The node that has configured the UE with QoE measurements should indicate the QoE reference to the node that receives the reports and forwards them directly to MCE.</w:t>
            </w:r>
          </w:p>
          <w:p w14:paraId="50DE06EA" w14:textId="77777777" w:rsidR="00A836FC" w:rsidRPr="00224B22" w:rsidRDefault="00A836FC" w:rsidP="00A836FC">
            <w:pPr>
              <w:contextualSpacing/>
              <w:rPr>
                <w:rFonts w:ascii="Calibri" w:hAnsi="Calibri" w:cs="Calibri"/>
                <w:i/>
                <w:iCs/>
                <w:color w:val="00B050"/>
                <w:kern w:val="2"/>
                <w:sz w:val="16"/>
                <w:szCs w:val="16"/>
              </w:rPr>
            </w:pPr>
          </w:p>
          <w:p w14:paraId="0AFD6AA9" w14:textId="77777777" w:rsidR="00A836FC" w:rsidRPr="00224B22"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The MN can generate an RVQoE configuration for a UE.</w:t>
            </w:r>
          </w:p>
          <w:p w14:paraId="36F18619" w14:textId="77777777" w:rsidR="00A836FC" w:rsidRPr="00224B22"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The SN can generate an RVQoE configuration for a UE. FFS whether MN can modify the SN generated RVQoE configuration</w:t>
            </w:r>
          </w:p>
          <w:p w14:paraId="6AB24977" w14:textId="77777777" w:rsidR="00A836FC" w:rsidRPr="00224B22"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The MN can send an RVQoE configuration to the UE.</w:t>
            </w:r>
          </w:p>
          <w:p w14:paraId="54B95902" w14:textId="77777777" w:rsidR="00A836FC" w:rsidRPr="00224B22"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The MN can receive RVQoE reports directly from the UE.</w:t>
            </w:r>
          </w:p>
          <w:p w14:paraId="65988874" w14:textId="70BC14CC" w:rsidR="00A836FC"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The SN can receive RVQoE reports directly from the UE.</w:t>
            </w:r>
          </w:p>
          <w:p w14:paraId="7A76D57C" w14:textId="77777777" w:rsidR="00A836FC" w:rsidRPr="00224B22" w:rsidRDefault="00A836FC" w:rsidP="00A836FC">
            <w:pPr>
              <w:contextualSpacing/>
              <w:rPr>
                <w:rFonts w:ascii="Calibri" w:hAnsi="Calibri" w:cs="Calibri"/>
                <w:i/>
                <w:iCs/>
                <w:color w:val="00B050"/>
                <w:kern w:val="2"/>
                <w:sz w:val="16"/>
                <w:szCs w:val="16"/>
              </w:rPr>
            </w:pPr>
          </w:p>
          <w:p w14:paraId="27B7A51B" w14:textId="77777777" w:rsidR="00A836FC" w:rsidRPr="00224B22" w:rsidRDefault="00A836FC" w:rsidP="00A836FC">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Turn the following WA into an agreement: “</w:t>
            </w:r>
            <w:r w:rsidRPr="008C7712">
              <w:rPr>
                <w:rFonts w:ascii="Calibri" w:hAnsi="Calibri" w:cs="Calibri"/>
                <w:i/>
                <w:iCs/>
                <w:color w:val="00B050"/>
                <w:kern w:val="2"/>
                <w:sz w:val="16"/>
                <w:szCs w:val="16"/>
                <w:highlight w:val="yellow"/>
              </w:rPr>
              <w:t>UE can send RVQoE report to the MN, the MN then forward the RVQoE report to the SN if needed, and vice versa</w:t>
            </w:r>
            <w:r w:rsidRPr="00224B22">
              <w:rPr>
                <w:rFonts w:ascii="Calibri" w:hAnsi="Calibri" w:cs="Calibri"/>
                <w:i/>
                <w:iCs/>
                <w:color w:val="00B050"/>
                <w:kern w:val="2"/>
                <w:sz w:val="16"/>
                <w:szCs w:val="16"/>
              </w:rPr>
              <w:t>”.</w:t>
            </w:r>
          </w:p>
          <w:p w14:paraId="4B45C3EA" w14:textId="77777777" w:rsidR="00A836FC" w:rsidRPr="00224B22" w:rsidRDefault="00A836FC" w:rsidP="00A836FC">
            <w:pPr>
              <w:contextualSpacing/>
              <w:rPr>
                <w:rFonts w:ascii="Calibri" w:hAnsi="Calibri" w:cs="Calibri"/>
                <w:i/>
                <w:iCs/>
                <w:color w:val="00B050"/>
                <w:kern w:val="2"/>
                <w:sz w:val="16"/>
                <w:szCs w:val="16"/>
              </w:rPr>
            </w:pPr>
            <w:r w:rsidRPr="00A836FC">
              <w:rPr>
                <w:rFonts w:ascii="Calibri" w:hAnsi="Calibri" w:cs="Calibri"/>
                <w:i/>
                <w:iCs/>
                <w:color w:val="00B050"/>
                <w:kern w:val="2"/>
                <w:sz w:val="16"/>
                <w:szCs w:val="16"/>
                <w:highlight w:val="yellow"/>
              </w:rPr>
              <w:t>Agree to ensure that the RVQoE report is sent to the node(s) that provide the bearer(s) associated to the corresponding RVQoE measurement result in the RVQoE report.</w:t>
            </w:r>
          </w:p>
          <w:p w14:paraId="4E79D04F" w14:textId="77777777" w:rsidR="00A836FC" w:rsidRPr="00224B22" w:rsidRDefault="00A836FC" w:rsidP="00A836FC">
            <w:pPr>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The coordination between the MN and the SN should support at least the following (details to be further discussed):</w:t>
            </w:r>
          </w:p>
          <w:p w14:paraId="32393A8C" w14:textId="77777777" w:rsidR="00A836FC" w:rsidRPr="00224B22" w:rsidRDefault="00A836FC" w:rsidP="00A836FC">
            <w:pPr>
              <w:numPr>
                <w:ilvl w:val="0"/>
                <w:numId w:val="29"/>
              </w:numPr>
              <w:autoSpaceDN w:val="0"/>
              <w:spacing w:before="120" w:after="0"/>
              <w:rPr>
                <w:rFonts w:ascii="Calibri" w:hAnsi="Calibri" w:cs="Calibri"/>
                <w:i/>
                <w:color w:val="FF0000"/>
                <w:sz w:val="16"/>
                <w:szCs w:val="16"/>
              </w:rPr>
            </w:pPr>
            <w:r w:rsidRPr="00224B22">
              <w:rPr>
                <w:rFonts w:ascii="Calibri" w:hAnsi="Calibri" w:cs="Calibri"/>
                <w:i/>
                <w:color w:val="FF0000"/>
                <w:sz w:val="16"/>
                <w:szCs w:val="16"/>
              </w:rPr>
              <w:t>Initiation by either the MN or the SN for m-QoE, by the MN for s-QoE.</w:t>
            </w:r>
          </w:p>
          <w:p w14:paraId="5887CA26" w14:textId="77777777" w:rsidR="00A836FC" w:rsidRPr="00224B22" w:rsidRDefault="00A836FC" w:rsidP="00A836FC">
            <w:pPr>
              <w:numPr>
                <w:ilvl w:val="0"/>
                <w:numId w:val="29"/>
              </w:numPr>
              <w:autoSpaceDN w:val="0"/>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Coordination for configuring the UE.</w:t>
            </w:r>
          </w:p>
          <w:p w14:paraId="6C6303F8" w14:textId="77777777" w:rsidR="00A836FC" w:rsidRPr="00224B22" w:rsidRDefault="00A836FC" w:rsidP="00A836FC">
            <w:pPr>
              <w:numPr>
                <w:ilvl w:val="0"/>
                <w:numId w:val="29"/>
              </w:numPr>
              <w:autoSpaceDN w:val="0"/>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Coordination for establishing the SRB for receiving QoE/RVQoE reports.</w:t>
            </w:r>
          </w:p>
          <w:p w14:paraId="2D9C3E13" w14:textId="77777777" w:rsidR="00A836FC" w:rsidRPr="00224B22" w:rsidRDefault="00A836FC" w:rsidP="00A836FC">
            <w:pPr>
              <w:numPr>
                <w:ilvl w:val="0"/>
                <w:numId w:val="29"/>
              </w:numPr>
              <w:autoSpaceDN w:val="0"/>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Indication about switching the reporting leg.</w:t>
            </w:r>
          </w:p>
          <w:p w14:paraId="349A81BB" w14:textId="5E0637D7" w:rsidR="00196CA8" w:rsidRPr="00196CA8" w:rsidRDefault="00A836FC" w:rsidP="00A836FC">
            <w:pPr>
              <w:jc w:val="both"/>
              <w:rPr>
                <w:b/>
                <w:bCs/>
                <w:iCs/>
                <w:u w:val="single"/>
              </w:rPr>
            </w:pPr>
            <w:r>
              <w:rPr>
                <w:rFonts w:ascii="Calibri" w:hAnsi="Calibri" w:cs="Calibri"/>
                <w:i/>
                <w:color w:val="FF0000"/>
                <w:sz w:val="16"/>
                <w:szCs w:val="16"/>
              </w:rPr>
              <w:t>Focus on general solution design, rather than stage3 pieces</w:t>
            </w:r>
          </w:p>
          <w:p w14:paraId="2E46B660" w14:textId="77777777" w:rsidR="00A836FC" w:rsidRDefault="00A836FC" w:rsidP="000C09D2">
            <w:pPr>
              <w:jc w:val="both"/>
              <w:rPr>
                <w:b/>
                <w:bCs/>
                <w:iCs/>
                <w:u w:val="single"/>
                <w:lang w:val="en-US"/>
              </w:rPr>
            </w:pPr>
          </w:p>
          <w:p w14:paraId="412837E5" w14:textId="65314591" w:rsidR="000C09D2" w:rsidRPr="00F26BB6" w:rsidRDefault="000C09D2" w:rsidP="000C09D2">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118</w:t>
            </w:r>
            <w:r w:rsidRPr="00F26BB6">
              <w:rPr>
                <w:b/>
                <w:bCs/>
                <w:iCs/>
                <w:u w:val="single"/>
                <w:lang w:val="en-US"/>
              </w:rPr>
              <w:t xml:space="preserve"> Agreements:</w:t>
            </w:r>
          </w:p>
          <w:p w14:paraId="0D33F7BC" w14:textId="77777777" w:rsidR="00A836FC" w:rsidRPr="00B924F0" w:rsidRDefault="00A836FC" w:rsidP="00A836FC">
            <w:pPr>
              <w:pStyle w:val="ListParagraph3"/>
              <w:numPr>
                <w:ilvl w:val="0"/>
                <w:numId w:val="30"/>
              </w:numPr>
              <w:overflowPunct w:val="0"/>
              <w:autoSpaceDE w:val="0"/>
              <w:autoSpaceDN w:val="0"/>
              <w:adjustRightInd w:val="0"/>
              <w:spacing w:after="120"/>
              <w:jc w:val="both"/>
              <w:textAlignment w:val="baseline"/>
              <w:rPr>
                <w:rFonts w:ascii="Calibri" w:hAnsi="Calibri" w:cs="Calibri"/>
                <w:b/>
                <w:color w:val="0000FF"/>
                <w:sz w:val="18"/>
              </w:rPr>
            </w:pPr>
            <w:r w:rsidRPr="00B924F0">
              <w:rPr>
                <w:rFonts w:ascii="Calibri" w:hAnsi="Calibri" w:cs="Calibri"/>
                <w:b/>
                <w:color w:val="008000"/>
                <w:sz w:val="18"/>
              </w:rPr>
              <w:t xml:space="preserve">In case of management-based QoE, the MN decides which node to perform the QoE measurement configuration, </w:t>
            </w:r>
            <w:r w:rsidRPr="00B924F0">
              <w:rPr>
                <w:rFonts w:ascii="Calibri" w:hAnsi="Calibri" w:cs="Calibri"/>
                <w:b/>
                <w:color w:val="0000FF"/>
                <w:sz w:val="18"/>
              </w:rPr>
              <w:t>FFS which node (MN or SN) performs UE selection.</w:t>
            </w:r>
          </w:p>
          <w:p w14:paraId="1DB392D5" w14:textId="77777777" w:rsidR="00A836FC" w:rsidRPr="00B924F0" w:rsidRDefault="00A836FC" w:rsidP="00A836FC">
            <w:pPr>
              <w:pStyle w:val="ListParagraph3"/>
              <w:numPr>
                <w:ilvl w:val="0"/>
                <w:numId w:val="30"/>
              </w:numPr>
              <w:overflowPunct w:val="0"/>
              <w:autoSpaceDE w:val="0"/>
              <w:autoSpaceDN w:val="0"/>
              <w:adjustRightInd w:val="0"/>
              <w:spacing w:after="120"/>
              <w:jc w:val="both"/>
              <w:textAlignment w:val="baseline"/>
              <w:rPr>
                <w:rFonts w:ascii="Calibri" w:hAnsi="Calibri" w:cs="Calibri"/>
                <w:b/>
                <w:color w:val="0000FF"/>
                <w:sz w:val="18"/>
              </w:rPr>
            </w:pPr>
            <w:r w:rsidRPr="00B924F0">
              <w:rPr>
                <w:rFonts w:ascii="Calibri" w:hAnsi="Calibri" w:cs="Calibri"/>
                <w:b/>
                <w:color w:val="008000"/>
                <w:sz w:val="18"/>
              </w:rPr>
              <w:t xml:space="preserve">When MN configures a UE with m-based QoE, it may indicate to SN: the QoE Reference, the MCE IP address. </w:t>
            </w:r>
            <w:r w:rsidRPr="00B924F0">
              <w:rPr>
                <w:rFonts w:ascii="Calibri" w:hAnsi="Calibri" w:cs="Calibri"/>
                <w:b/>
                <w:color w:val="0000FF"/>
                <w:sz w:val="18"/>
              </w:rPr>
              <w:t xml:space="preserve">FFS for other information (e.g., RRC ID) </w:t>
            </w:r>
          </w:p>
          <w:p w14:paraId="584C9928" w14:textId="77777777" w:rsidR="00A836FC" w:rsidRPr="00B924F0" w:rsidRDefault="00A836FC" w:rsidP="00A836FC">
            <w:pPr>
              <w:pStyle w:val="ListParagraph3"/>
              <w:numPr>
                <w:ilvl w:val="0"/>
                <w:numId w:val="30"/>
              </w:numPr>
              <w:overflowPunct w:val="0"/>
              <w:autoSpaceDE w:val="0"/>
              <w:autoSpaceDN w:val="0"/>
              <w:adjustRightInd w:val="0"/>
              <w:spacing w:after="120"/>
              <w:jc w:val="both"/>
              <w:textAlignment w:val="baseline"/>
              <w:rPr>
                <w:rFonts w:ascii="Calibri" w:hAnsi="Calibri" w:cs="Calibri"/>
                <w:sz w:val="21"/>
                <w:szCs w:val="21"/>
              </w:rPr>
            </w:pPr>
            <w:r w:rsidRPr="00B924F0">
              <w:rPr>
                <w:rFonts w:ascii="Calibri" w:hAnsi="Calibri" w:cs="Calibri"/>
                <w:b/>
                <w:color w:val="008000"/>
                <w:sz w:val="18"/>
              </w:rPr>
              <w:t xml:space="preserve">WA: SN can send an RVQoE configuration to the UE. </w:t>
            </w:r>
            <w:r w:rsidRPr="00B924F0">
              <w:rPr>
                <w:rFonts w:ascii="Calibri" w:hAnsi="Calibri" w:cs="Calibri"/>
                <w:b/>
                <w:color w:val="0000FF"/>
                <w:sz w:val="18"/>
              </w:rPr>
              <w:t>FFS whether SN can send RVQoE configuration directly to UE via SRB3 or via split SRB1 or explicit over Xn (if MN can modify RVQoE).</w:t>
            </w:r>
          </w:p>
          <w:p w14:paraId="6DCEC875" w14:textId="44A9441F" w:rsidR="000C09D2" w:rsidRPr="00F26BB6" w:rsidRDefault="000C09D2" w:rsidP="007B6CF8">
            <w:pPr>
              <w:pStyle w:val="Normal4"/>
              <w:ind w:left="720"/>
              <w:rPr>
                <w:lang w:eastAsia="en-GB"/>
              </w:rPr>
            </w:pPr>
          </w:p>
        </w:tc>
      </w:tr>
    </w:tbl>
    <w:p w14:paraId="5E880241" w14:textId="295E9113" w:rsidR="00BD527B" w:rsidRDefault="005915DC" w:rsidP="005915DC">
      <w:pPr>
        <w:jc w:val="both"/>
        <w:rPr>
          <w:iCs/>
          <w:lang w:val="en-US"/>
        </w:rPr>
      </w:pPr>
      <w:r>
        <w:rPr>
          <w:iCs/>
          <w:lang w:val="en-US"/>
        </w:rPr>
        <w:lastRenderedPageBreak/>
        <w:t xml:space="preserve"> </w:t>
      </w:r>
    </w:p>
    <w:p w14:paraId="42969153" w14:textId="4D76BA93" w:rsidR="000F2187" w:rsidRPr="00747BA2" w:rsidRDefault="007B6CF8" w:rsidP="000C09D2">
      <w:pPr>
        <w:jc w:val="both"/>
        <w:rPr>
          <w:iCs/>
          <w:lang w:val="en-US"/>
        </w:rPr>
      </w:pPr>
      <w:r>
        <w:rPr>
          <w:iCs/>
          <w:lang w:val="en-US"/>
        </w:rPr>
        <w:t xml:space="preserve">This paper presents </w:t>
      </w:r>
      <w:r w:rsidR="00A836FC">
        <w:rPr>
          <w:iCs/>
          <w:lang w:val="en-US"/>
        </w:rPr>
        <w:t xml:space="preserve">some of </w:t>
      </w:r>
      <w:r>
        <w:rPr>
          <w:iCs/>
          <w:lang w:val="en-US"/>
        </w:rPr>
        <w:t xml:space="preserve">our views on </w:t>
      </w:r>
      <w:r w:rsidR="00A836FC">
        <w:rPr>
          <w:iCs/>
          <w:lang w:val="en-US"/>
        </w:rPr>
        <w:t>QoE in NR-DC</w:t>
      </w:r>
      <w:r>
        <w:rPr>
          <w:iCs/>
          <w:lang w:val="en-US"/>
        </w:rPr>
        <w:t>.</w:t>
      </w:r>
      <w:r w:rsidR="00A836FC">
        <w:rPr>
          <w:iCs/>
          <w:lang w:val="en-US"/>
        </w:rPr>
        <w:t xml:space="preserve"> </w:t>
      </w:r>
      <w:r w:rsidR="00666107">
        <w:rPr>
          <w:iCs/>
          <w:lang w:val="en-US"/>
        </w:rPr>
        <w:t>In particular, we focus on the radio bearer handling for QoE reporting in NR-DC scenarios.</w:t>
      </w: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3816125A" w14:textId="0BCCE2B2" w:rsidR="00666107" w:rsidRDefault="00666107" w:rsidP="00666107">
      <w:pPr>
        <w:jc w:val="both"/>
        <w:rPr>
          <w:iCs/>
          <w:lang w:val="en-US"/>
        </w:rPr>
      </w:pPr>
      <w:r>
        <w:rPr>
          <w:iCs/>
          <w:lang w:val="en-US"/>
        </w:rPr>
        <w:t>SRB4 has been introduced in Rel-17 for the UE to report application layer measurements. But since SRB4 is currently used for QoE reporting to MN, it cannot support QoE reporting to SN in its current form.</w:t>
      </w:r>
    </w:p>
    <w:p w14:paraId="6E5B24CC" w14:textId="17D05508" w:rsidR="00666107" w:rsidRPr="00456672" w:rsidRDefault="00956701" w:rsidP="001205E4">
      <w:pPr>
        <w:jc w:val="both"/>
        <w:rPr>
          <w:iCs/>
          <w:lang w:val="en-US"/>
        </w:rPr>
      </w:pPr>
      <w:r>
        <w:rPr>
          <w:iCs/>
          <w:lang w:val="en-US"/>
        </w:rPr>
        <w:t xml:space="preserve">It has been proposed that a new SRB (e.g. SRB5) can be introduced in Rel-18 in order to support QoE reporting to SN. While this </w:t>
      </w:r>
      <w:r w:rsidR="0027739A">
        <w:rPr>
          <w:iCs/>
          <w:lang w:val="en-US"/>
        </w:rPr>
        <w:t>seems to be</w:t>
      </w:r>
      <w:r>
        <w:rPr>
          <w:iCs/>
          <w:lang w:val="en-US"/>
        </w:rPr>
        <w:t xml:space="preserve"> a viable and clean approach, we think RAN2 should first attempt to explore the possibilities of extending SRB4, which RAN2 has agreed to use as the baseline. </w:t>
      </w:r>
      <w:r w:rsidR="00A32F0B">
        <w:rPr>
          <w:iCs/>
          <w:lang w:val="en-US"/>
        </w:rPr>
        <w:t xml:space="preserve">If possible, we do not think it is appropriate to introduce too many different types of SRBs that are solely used for QoE purposes. </w:t>
      </w:r>
      <w:r>
        <w:rPr>
          <w:iCs/>
          <w:lang w:val="en-US"/>
        </w:rPr>
        <w:t>In other words, we think the new SRB approach should be considered as a last resort.</w:t>
      </w:r>
    </w:p>
    <w:p w14:paraId="36DBC489" w14:textId="77777777" w:rsidR="00691958" w:rsidRDefault="00691958" w:rsidP="00691958">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RAN2 should first discuss if this is viable to extend SRB4 for QoE reporting to SN, before considering the approach based on new SRB.</w:t>
      </w:r>
    </w:p>
    <w:p w14:paraId="1370D09C" w14:textId="77777777" w:rsidR="00FC205C" w:rsidRDefault="00FC205C" w:rsidP="009B0746">
      <w:pPr>
        <w:jc w:val="both"/>
        <w:rPr>
          <w:b/>
          <w:bCs/>
          <w:iCs/>
          <w:lang w:val="en-US"/>
        </w:rPr>
      </w:pPr>
    </w:p>
    <w:p w14:paraId="71DE6146" w14:textId="2A149525" w:rsidR="00456672" w:rsidRDefault="00456672" w:rsidP="009B0746">
      <w:pPr>
        <w:jc w:val="both"/>
        <w:rPr>
          <w:iCs/>
          <w:lang w:val="en-US"/>
        </w:rPr>
      </w:pPr>
      <w:r>
        <w:rPr>
          <w:iCs/>
          <w:lang w:val="en-US"/>
        </w:rPr>
        <w:t xml:space="preserve">To allow the SN to receive the QoE report which it intended to receive based on SRB4, the UE can actually include the QoE report for SN as a transparent container, and then transmit it to MN. Once the MN receives the QoE report </w:t>
      </w:r>
      <w:r w:rsidR="00F7470E">
        <w:rPr>
          <w:iCs/>
          <w:lang w:val="en-US"/>
        </w:rPr>
        <w:lastRenderedPageBreak/>
        <w:t>with</w:t>
      </w:r>
      <w:r>
        <w:rPr>
          <w:iCs/>
          <w:lang w:val="en-US"/>
        </w:rPr>
        <w:t xml:space="preserve"> SRB4</w:t>
      </w:r>
      <w:r w:rsidR="00F7470E">
        <w:rPr>
          <w:iCs/>
          <w:lang w:val="en-US"/>
        </w:rPr>
        <w:t xml:space="preserve"> from the UE</w:t>
      </w:r>
      <w:r>
        <w:rPr>
          <w:iCs/>
          <w:lang w:val="en-US"/>
        </w:rPr>
        <w:t>, it can further forward the transparent container to SN</w:t>
      </w:r>
      <w:r w:rsidR="00F7470E">
        <w:rPr>
          <w:iCs/>
          <w:lang w:val="en-US"/>
        </w:rPr>
        <w:t xml:space="preserve"> via the Xn interface</w:t>
      </w:r>
      <w:r>
        <w:rPr>
          <w:iCs/>
          <w:lang w:val="en-US"/>
        </w:rPr>
        <w:t xml:space="preserve">. This container can include both regular QoE and RVQoE </w:t>
      </w:r>
      <w:r w:rsidR="00F7470E">
        <w:rPr>
          <w:iCs/>
          <w:lang w:val="en-US"/>
        </w:rPr>
        <w:t xml:space="preserve">reports </w:t>
      </w:r>
      <w:r>
        <w:rPr>
          <w:iCs/>
          <w:lang w:val="en-US"/>
        </w:rPr>
        <w:t>that are intended to be sent to SN.</w:t>
      </w:r>
      <w:r w:rsidR="00F7470E">
        <w:rPr>
          <w:iCs/>
          <w:lang w:val="en-US"/>
        </w:rPr>
        <w:t xml:space="preserve"> With this approach, we do not need to change SRB4 characteristics, but the definition of Application Layer Measurement Report may have to be modified in order to accommodate the new container.</w:t>
      </w:r>
    </w:p>
    <w:p w14:paraId="72AA69CE" w14:textId="70DB4212" w:rsidR="00F7470E" w:rsidRDefault="00F7470E" w:rsidP="009B0746">
      <w:pPr>
        <w:jc w:val="both"/>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The UE could include the QoE report for SN as a transparent container in the application layer measurement report, and report it to MN via legacy SRB4. The MN can further forward the transparent container to SN.</w:t>
      </w:r>
    </w:p>
    <w:p w14:paraId="26829B82" w14:textId="77777777" w:rsidR="00A32F0B" w:rsidRPr="00A32F0B" w:rsidRDefault="00A32F0B" w:rsidP="009B0746">
      <w:pPr>
        <w:jc w:val="both"/>
        <w:rPr>
          <w:b/>
          <w:bCs/>
          <w:iCs/>
          <w:lang w:val="en-US"/>
        </w:rPr>
      </w:pPr>
    </w:p>
    <w:p w14:paraId="7656B6F8" w14:textId="171F24A3" w:rsidR="00F7470E" w:rsidRDefault="00A32F0B" w:rsidP="009B0746">
      <w:pPr>
        <w:jc w:val="both"/>
        <w:rPr>
          <w:iCs/>
          <w:lang w:val="en-US"/>
        </w:rPr>
      </w:pPr>
      <w:r>
        <w:rPr>
          <w:iCs/>
          <w:lang w:val="en-US"/>
        </w:rPr>
        <w:t xml:space="preserve">Another possibility is to allow SRB4 to be configured as a SCG bearer in Rel-18. Hence, the UE can send QoE for SN over SCG directly. However, with such an approach, it is not clear if we can easily fulfil RAN3 agreement wherein the reporting leg can be switched between MCG and SCG during one application session. </w:t>
      </w:r>
    </w:p>
    <w:p w14:paraId="74FF84FF" w14:textId="33A2C846" w:rsidR="00A32F0B" w:rsidRDefault="00A32F0B" w:rsidP="00A32F0B">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RAN2 can further study the feasibility of directly configure SRB4 as a SCG bearer.</w:t>
      </w:r>
    </w:p>
    <w:p w14:paraId="06E9E965" w14:textId="56AB7180" w:rsidR="00A32F0B" w:rsidRDefault="00A32F0B" w:rsidP="00A32F0B">
      <w:pPr>
        <w:jc w:val="both"/>
        <w:rPr>
          <w:b/>
          <w:bCs/>
          <w:iCs/>
          <w:lang w:val="en-US"/>
        </w:rPr>
      </w:pPr>
    </w:p>
    <w:p w14:paraId="1DD4FA7E" w14:textId="5C4D4DEE" w:rsidR="003B7FE9" w:rsidRPr="003B7FE9" w:rsidRDefault="00FC205C" w:rsidP="00A32F0B">
      <w:pPr>
        <w:jc w:val="both"/>
      </w:pPr>
      <w:r>
        <w:rPr>
          <w:iCs/>
          <w:lang w:val="en-US"/>
        </w:rPr>
        <w:t xml:space="preserve">Apart from SRB4, reusing SRB3 has also been suggested. Note that SRB3 is current used for </w:t>
      </w:r>
      <w:r w:rsidRPr="00740BCD">
        <w:t>specific RRC messages when UE is in (NG)EN-DC or NR-DC</w:t>
      </w:r>
      <w:r>
        <w:t xml:space="preserve">. We think this is indeed a reasonable approach as SRB3 plays a key role to enable message exchange in DC-based scenarios, and </w:t>
      </w:r>
      <w:r w:rsidR="003B7FE9">
        <w:t xml:space="preserve">the functionality of which could be extended to cover QoE reporting. Nonetheless, since application layer measurement report has been considered as low priority messages, there are some concerns about whether QoE message can interfere other messages with higher priority also conveyed in SRB3. Thus, RAN2 may have to first discuss if this could be an issue if SRB3 approach is to be considered. From our point of view, if RAN2 can confirm interference to high priority message is not a major issue, then </w:t>
      </w:r>
      <w:r w:rsidR="00557DDF">
        <w:t xml:space="preserve">the approach based on </w:t>
      </w:r>
      <w:r w:rsidR="003B7FE9">
        <w:t>reusing SRB3 can be prioritized.</w:t>
      </w:r>
    </w:p>
    <w:p w14:paraId="5FF66328" w14:textId="101189DD" w:rsidR="003B7FE9" w:rsidRDefault="003B7FE9" w:rsidP="003B7FE9">
      <w:pPr>
        <w:jc w:val="both"/>
        <w:rPr>
          <w:b/>
          <w:bCs/>
          <w:iCs/>
          <w:lang w:val="en-US"/>
        </w:rPr>
      </w:pPr>
      <w:r w:rsidRPr="006E52F4">
        <w:rPr>
          <w:b/>
          <w:bCs/>
          <w:iCs/>
          <w:lang w:val="en-US"/>
        </w:rPr>
        <w:t xml:space="preserve">Proposal </w:t>
      </w:r>
      <w:r>
        <w:rPr>
          <w:b/>
          <w:bCs/>
          <w:iCs/>
          <w:lang w:val="en-US"/>
        </w:rPr>
        <w:t>4</w:t>
      </w:r>
      <w:r w:rsidRPr="006E52F4">
        <w:rPr>
          <w:b/>
          <w:bCs/>
          <w:iCs/>
          <w:lang w:val="en-US"/>
        </w:rPr>
        <w:t xml:space="preserve">: </w:t>
      </w:r>
      <w:r>
        <w:rPr>
          <w:b/>
          <w:bCs/>
          <w:iCs/>
          <w:lang w:val="en-US"/>
        </w:rPr>
        <w:t xml:space="preserve">RAN2 can prioritize the approach of reusing SRB3, if we can confirm that interference to other high priority messages is not a major issue. </w:t>
      </w:r>
    </w:p>
    <w:p w14:paraId="6176A7C8" w14:textId="77777777" w:rsidR="00456672" w:rsidRPr="00456672" w:rsidRDefault="00456672" w:rsidP="009B0746">
      <w:pPr>
        <w:jc w:val="both"/>
        <w:rPr>
          <w:b/>
          <w:bCs/>
          <w:iCs/>
          <w:lang w:val="en-US"/>
        </w:rPr>
      </w:pPr>
    </w:p>
    <w:p w14:paraId="3B62EC4A" w14:textId="77777777" w:rsidR="009B0746" w:rsidRPr="00CB5EE9" w:rsidRDefault="009B0746" w:rsidP="009B0746">
      <w:pPr>
        <w:pStyle w:val="Heading1"/>
        <w:rPr>
          <w:lang w:val="en-US"/>
        </w:rPr>
      </w:pPr>
      <w:r>
        <w:rPr>
          <w:lang w:val="en-US"/>
        </w:rPr>
        <w:t>Conclusions</w:t>
      </w:r>
    </w:p>
    <w:p w14:paraId="5504373C" w14:textId="77777777" w:rsidR="00691958" w:rsidRDefault="002929D8" w:rsidP="00666107">
      <w:pPr>
        <w:jc w:val="both"/>
        <w:rPr>
          <w:iCs/>
          <w:lang w:val="en-US"/>
        </w:rPr>
      </w:pPr>
      <w:r>
        <w:rPr>
          <w:iCs/>
          <w:lang w:val="en-US"/>
        </w:rPr>
        <w:t>In this contribution,</w:t>
      </w:r>
      <w:r w:rsidR="00691958">
        <w:rPr>
          <w:iCs/>
          <w:lang w:val="en-US"/>
        </w:rPr>
        <w:t xml:space="preserve"> we have discussed some of our opinions about radio bearers for QoE reporting in NR-DC scenarios, and proposed the following:</w:t>
      </w:r>
    </w:p>
    <w:p w14:paraId="22E9CDFC" w14:textId="23776FAA" w:rsidR="00691958" w:rsidRDefault="00691958" w:rsidP="00691958">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RAN2 should first discuss if this is viable to extend SRB4 for QoE reporting to SN, before considering the approach based on new SRB.</w:t>
      </w:r>
    </w:p>
    <w:p w14:paraId="2117E490" w14:textId="77777777" w:rsidR="00691958" w:rsidRDefault="00691958" w:rsidP="00691958">
      <w:pPr>
        <w:jc w:val="both"/>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The UE could include the QoE report for SN as a transparent container in the application layer measurement report, and report it to MN via legacy SRB4. The MN can further forward the transparent container to SN.</w:t>
      </w:r>
    </w:p>
    <w:p w14:paraId="05860133" w14:textId="77777777" w:rsidR="00691958" w:rsidRDefault="00691958" w:rsidP="00691958">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RAN2 can further study the feasibility of directly configure SRB4 as a SCG bearer.</w:t>
      </w:r>
    </w:p>
    <w:p w14:paraId="2FE47AC9" w14:textId="52AAEB28" w:rsidR="00753A51" w:rsidRDefault="00691958" w:rsidP="00666107">
      <w:pPr>
        <w:jc w:val="both"/>
        <w:rPr>
          <w:b/>
          <w:bCs/>
          <w:iCs/>
          <w:lang w:val="en-US"/>
        </w:rPr>
      </w:pPr>
      <w:r w:rsidRPr="006E52F4">
        <w:rPr>
          <w:b/>
          <w:bCs/>
          <w:iCs/>
          <w:lang w:val="en-US"/>
        </w:rPr>
        <w:t xml:space="preserve">Proposal </w:t>
      </w:r>
      <w:r>
        <w:rPr>
          <w:b/>
          <w:bCs/>
          <w:iCs/>
          <w:lang w:val="en-US"/>
        </w:rPr>
        <w:t>4</w:t>
      </w:r>
      <w:r w:rsidRPr="006E52F4">
        <w:rPr>
          <w:b/>
          <w:bCs/>
          <w:iCs/>
          <w:lang w:val="en-US"/>
        </w:rPr>
        <w:t xml:space="preserve">: </w:t>
      </w:r>
      <w:r>
        <w:rPr>
          <w:b/>
          <w:bCs/>
          <w:iCs/>
          <w:lang w:val="en-US"/>
        </w:rPr>
        <w:t xml:space="preserve">RAN2 can prioritize the approach of reusing SRB3, if we can confirm that interference to other high priority messages is not a major issue. </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606BE12" w14:textId="77777777" w:rsidR="00D412A9" w:rsidRDefault="00F737A6" w:rsidP="00D412A9">
      <w:pPr>
        <w:overflowPunct w:val="0"/>
        <w:autoSpaceDE w:val="0"/>
        <w:autoSpaceDN w:val="0"/>
        <w:adjustRightInd w:val="0"/>
        <w:jc w:val="both"/>
        <w:textAlignment w:val="baseline"/>
        <w:rPr>
          <w:rFonts w:eastAsia="Batang"/>
          <w:bCs/>
          <w:lang w:eastAsia="zh-CN"/>
        </w:rPr>
      </w:pPr>
      <w:r>
        <w:rPr>
          <w:bCs/>
          <w:iCs/>
        </w:rPr>
        <w:t xml:space="preserve">[1] </w:t>
      </w:r>
      <w:r w:rsidR="00D412A9">
        <w:rPr>
          <w:bCs/>
          <w:iCs/>
        </w:rPr>
        <w:t xml:space="preserve">RP-223488, </w:t>
      </w:r>
      <w:r w:rsidR="00D412A9" w:rsidRPr="002929D8">
        <w:rPr>
          <w:rFonts w:eastAsia="Batang"/>
          <w:bCs/>
          <w:lang w:eastAsia="zh-CN"/>
        </w:rPr>
        <w:t>WID update for Enhancement on NR QoE</w:t>
      </w:r>
      <w:r w:rsidR="00D412A9">
        <w:rPr>
          <w:rFonts w:eastAsia="Batang"/>
          <w:bCs/>
          <w:lang w:eastAsia="zh-CN"/>
        </w:rPr>
        <w:t>, China Unicom, RAN #98, December 2022.</w:t>
      </w:r>
    </w:p>
    <w:p w14:paraId="6F4278B9" w14:textId="2BB6B658"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F7CA" w14:textId="77777777" w:rsidR="00C91FD1" w:rsidRDefault="00C91FD1">
      <w:r>
        <w:separator/>
      </w:r>
    </w:p>
  </w:endnote>
  <w:endnote w:type="continuationSeparator" w:id="0">
    <w:p w14:paraId="7EA48A3D" w14:textId="77777777" w:rsidR="00C91FD1" w:rsidRDefault="00C91FD1">
      <w:r>
        <w:continuationSeparator/>
      </w:r>
    </w:p>
  </w:endnote>
  <w:endnote w:type="continuationNotice" w:id="1">
    <w:p w14:paraId="17FB0D48" w14:textId="77777777" w:rsidR="00C91FD1" w:rsidRDefault="00C91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1B75" w14:textId="77777777" w:rsidR="00C91FD1" w:rsidRDefault="00C91FD1">
      <w:r>
        <w:separator/>
      </w:r>
    </w:p>
  </w:footnote>
  <w:footnote w:type="continuationSeparator" w:id="0">
    <w:p w14:paraId="1B618C51" w14:textId="77777777" w:rsidR="00C91FD1" w:rsidRDefault="00C91FD1">
      <w:r>
        <w:continuationSeparator/>
      </w:r>
    </w:p>
  </w:footnote>
  <w:footnote w:type="continuationNotice" w:id="1">
    <w:p w14:paraId="1B3C95F9" w14:textId="77777777" w:rsidR="00C91FD1" w:rsidRDefault="00C91F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6"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5"/>
  </w:num>
  <w:num w:numId="2" w16cid:durableId="1464886471">
    <w:abstractNumId w:val="0"/>
  </w:num>
  <w:num w:numId="3" w16cid:durableId="6106756">
    <w:abstractNumId w:val="1"/>
  </w:num>
  <w:num w:numId="4" w16cid:durableId="9181927">
    <w:abstractNumId w:val="2"/>
  </w:num>
  <w:num w:numId="5" w16cid:durableId="189296478">
    <w:abstractNumId w:val="27"/>
  </w:num>
  <w:num w:numId="6" w16cid:durableId="216478951">
    <w:abstractNumId w:val="3"/>
  </w:num>
  <w:num w:numId="7" w16cid:durableId="2145732921">
    <w:abstractNumId w:val="4"/>
  </w:num>
  <w:num w:numId="8" w16cid:durableId="910503920">
    <w:abstractNumId w:val="14"/>
  </w:num>
  <w:num w:numId="9" w16cid:durableId="418721023">
    <w:abstractNumId w:val="23"/>
  </w:num>
  <w:num w:numId="10" w16cid:durableId="701636600">
    <w:abstractNumId w:val="20"/>
  </w:num>
  <w:num w:numId="11" w16cid:durableId="1130325448">
    <w:abstractNumId w:val="10"/>
  </w:num>
  <w:num w:numId="12" w16cid:durableId="1997687803">
    <w:abstractNumId w:val="18"/>
  </w:num>
  <w:num w:numId="13" w16cid:durableId="1749767913">
    <w:abstractNumId w:val="24"/>
  </w:num>
  <w:num w:numId="14" w16cid:durableId="1287271592">
    <w:abstractNumId w:val="5"/>
  </w:num>
  <w:num w:numId="15" w16cid:durableId="1065492308">
    <w:abstractNumId w:val="9"/>
  </w:num>
  <w:num w:numId="16" w16cid:durableId="92819455">
    <w:abstractNumId w:val="6"/>
  </w:num>
  <w:num w:numId="17" w16cid:durableId="624045031">
    <w:abstractNumId w:val="21"/>
  </w:num>
  <w:num w:numId="18" w16cid:durableId="826672507">
    <w:abstractNumId w:val="28"/>
  </w:num>
  <w:num w:numId="19" w16cid:durableId="1170675232">
    <w:abstractNumId w:val="8"/>
  </w:num>
  <w:num w:numId="20" w16cid:durableId="1548757890">
    <w:abstractNumId w:val="22"/>
  </w:num>
  <w:num w:numId="21" w16cid:durableId="244656901">
    <w:abstractNumId w:val="16"/>
  </w:num>
  <w:num w:numId="22" w16cid:durableId="1671368001">
    <w:abstractNumId w:val="13"/>
  </w:num>
  <w:num w:numId="23" w16cid:durableId="2066752428">
    <w:abstractNumId w:val="15"/>
  </w:num>
  <w:num w:numId="24" w16cid:durableId="236288821">
    <w:abstractNumId w:val="29"/>
  </w:num>
  <w:num w:numId="25" w16cid:durableId="1519196168">
    <w:abstractNumId w:val="12"/>
  </w:num>
  <w:num w:numId="26" w16cid:durableId="585573553">
    <w:abstractNumId w:val="11"/>
  </w:num>
  <w:num w:numId="27" w16cid:durableId="92359676">
    <w:abstractNumId w:val="19"/>
  </w:num>
  <w:num w:numId="28" w16cid:durableId="1372070875">
    <w:abstractNumId w:val="17"/>
  </w:num>
  <w:num w:numId="29" w16cid:durableId="107354488">
    <w:abstractNumId w:val="26"/>
  </w:num>
  <w:num w:numId="30" w16cid:durableId="199964729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05F"/>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AA6"/>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39A"/>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B7FE9"/>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56672"/>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57DDF"/>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107"/>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1958"/>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D660F"/>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45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C7712"/>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56701"/>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2F0B"/>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6FC"/>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672"/>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1FD1"/>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197B"/>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12A9"/>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3CB8"/>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0E"/>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DAD"/>
    <w:rsid w:val="00FC0FC2"/>
    <w:rsid w:val="00FC1192"/>
    <w:rsid w:val="00FC11AB"/>
    <w:rsid w:val="00FC1EC5"/>
    <w:rsid w:val="00FC205C"/>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1486</TotalTime>
  <Pages>3</Pages>
  <Words>1294</Words>
  <Characters>7146</Characters>
  <Application>Microsoft Office Word</Application>
  <DocSecurity>0</DocSecurity>
  <Lines>246</Lines>
  <Paragraphs>106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25</cp:revision>
  <dcterms:created xsi:type="dcterms:W3CDTF">2022-07-28T18:12:00Z</dcterms:created>
  <dcterms:modified xsi:type="dcterms:W3CDTF">2023-02-16T10:31:00Z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